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차 용 증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개인간 금전 대차 시 사용하는 표준 차용증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채권자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채무자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차용금액(숫자)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차용금액(한글)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이자율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변제기일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채무 확인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채무자는 위 금액을 채권자로부터 차용하였음을 확인하며, 아래 조건에 따라 변제할 것을 약속합니다.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변제 방법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지연손해금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변제기일까지 변제하지 아니할 경우, 연체 기간에 대하여 연         %의 지연손해금을 가산하여 지급한다.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채권자 (인)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채무자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