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상가임대차계약서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상가·점포 임대차 계약 시 사용하는 표준 계약서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임대인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임차인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소재지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업종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면적(㎡)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임대차기간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특약사항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1. 권리금 관련:</w:t>
        <w:br/>
      </w:r>
      <w:r>
        <w:rPr>
          <w:rFonts w:ascii="맑은 고딕" w:hAnsi="맑은 고딕" w:eastAsia="맑은 고딕"/>
          <w:b w:val="0"/>
          <w:sz w:val="21"/>
        </w:rPr>
        <w:t>2. 원상복구 의무:</w:t>
        <w:br/>
      </w:r>
      <w:r>
        <w:rPr>
          <w:rFonts w:ascii="맑은 고딕" w:hAnsi="맑은 고딕" w:eastAsia="맑은 고딕"/>
          <w:b w:val="0"/>
          <w:sz w:val="21"/>
        </w:rPr>
        <w:t>3. 기타: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계약금액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구분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지급일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보증금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월차임(월세)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계약금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계약 체결시 지급</w:t>
            </w:r>
          </w:p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중도금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잔금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계약일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임대인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임차인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공인중개사(입회)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