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정 산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수입·지출 내역을 정산하는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정산대상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정산기간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정산 요약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총 수입             원 − 총 지출             원 = 잔액             원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정산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항목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수입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지출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비고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확인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